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0F" w:rsidRPr="001E5298" w:rsidRDefault="0017310F" w:rsidP="00057974">
      <w:pPr>
        <w:shd w:val="clear" w:color="auto" w:fill="FFFFFF"/>
        <w:ind w:firstLine="561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указания по оформлению отчета о прохождении</w:t>
      </w:r>
      <w:r w:rsidRPr="001E5298">
        <w:rPr>
          <w:sz w:val="28"/>
          <w:szCs w:val="28"/>
        </w:rPr>
        <w:t xml:space="preserve"> производственной практики</w:t>
      </w:r>
    </w:p>
    <w:p w:rsidR="0017310F" w:rsidRDefault="0017310F" w:rsidP="00057974">
      <w:pPr>
        <w:shd w:val="clear" w:color="auto" w:fill="FFFFFF"/>
        <w:ind w:firstLine="561"/>
        <w:jc w:val="center"/>
        <w:rPr>
          <w:sz w:val="28"/>
          <w:szCs w:val="28"/>
        </w:rPr>
      </w:pPr>
      <w:r w:rsidRPr="001E5298">
        <w:rPr>
          <w:sz w:val="28"/>
          <w:szCs w:val="28"/>
        </w:rPr>
        <w:t>база практики</w:t>
      </w:r>
      <w:r>
        <w:rPr>
          <w:sz w:val="28"/>
          <w:szCs w:val="28"/>
        </w:rPr>
        <w:t xml:space="preserve"> – </w:t>
      </w:r>
      <w:r>
        <w:rPr>
          <w:rStyle w:val="FontStyle157"/>
          <w:iCs/>
          <w:sz w:val="28"/>
          <w:szCs w:val="28"/>
        </w:rPr>
        <w:t>кредитная организация</w:t>
      </w:r>
      <w:r w:rsidRPr="001E5298">
        <w:rPr>
          <w:sz w:val="28"/>
          <w:szCs w:val="28"/>
        </w:rPr>
        <w:t xml:space="preserve"> </w:t>
      </w:r>
    </w:p>
    <w:p w:rsidR="0017310F" w:rsidRDefault="0017310F" w:rsidP="00057974">
      <w:pPr>
        <w:shd w:val="clear" w:color="auto" w:fill="FFFFFF"/>
        <w:ind w:firstLine="561"/>
        <w:jc w:val="center"/>
        <w:rPr>
          <w:sz w:val="20"/>
          <w:szCs w:val="20"/>
        </w:rPr>
      </w:pPr>
    </w:p>
    <w:p w:rsidR="0017310F" w:rsidRDefault="0017310F" w:rsidP="00057974">
      <w:pPr>
        <w:shd w:val="clear" w:color="auto" w:fill="FFFFFF"/>
        <w:ind w:firstLine="561"/>
        <w:jc w:val="both"/>
        <w:rPr>
          <w:sz w:val="20"/>
          <w:szCs w:val="20"/>
        </w:rPr>
      </w:pPr>
    </w:p>
    <w:p w:rsidR="0017310F" w:rsidRDefault="0017310F" w:rsidP="00057974">
      <w:pPr>
        <w:shd w:val="clear" w:color="auto" w:fill="FFFFFF"/>
        <w:ind w:firstLine="561"/>
        <w:jc w:val="both"/>
        <w:rPr>
          <w:sz w:val="20"/>
          <w:szCs w:val="20"/>
        </w:rPr>
      </w:pPr>
    </w:p>
    <w:p w:rsidR="0017310F" w:rsidRPr="001E5298" w:rsidRDefault="0017310F" w:rsidP="00057974">
      <w:pPr>
        <w:shd w:val="clear" w:color="auto" w:fill="FFFFFF"/>
        <w:ind w:firstLine="709"/>
        <w:jc w:val="both"/>
        <w:rPr>
          <w:b/>
          <w:i/>
          <w:iCs/>
          <w:color w:val="000000"/>
        </w:rPr>
      </w:pPr>
      <w:r w:rsidRPr="001E5298">
        <w:rPr>
          <w:b/>
          <w:i/>
          <w:iCs/>
          <w:color w:val="000000"/>
        </w:rPr>
        <w:t>Содержание отчета по практике</w:t>
      </w:r>
    </w:p>
    <w:p w:rsidR="0017310F" w:rsidRPr="00780153" w:rsidRDefault="0017310F" w:rsidP="00512613">
      <w:pPr>
        <w:shd w:val="clear" w:color="auto" w:fill="FFFFFF"/>
        <w:ind w:firstLine="709"/>
        <w:jc w:val="both"/>
        <w:rPr>
          <w:iCs/>
          <w:color w:val="000000"/>
          <w:u w:val="single"/>
        </w:rPr>
      </w:pPr>
      <w:r w:rsidRPr="00780153">
        <w:rPr>
          <w:iCs/>
          <w:color w:val="000000"/>
          <w:u w:val="single"/>
        </w:rPr>
        <w:t>Часть 1. Общая оценка деятельности организации</w:t>
      </w:r>
    </w:p>
    <w:p w:rsidR="0017310F" w:rsidRPr="00512613" w:rsidRDefault="0017310F" w:rsidP="00750EDB">
      <w:pPr>
        <w:shd w:val="clear" w:color="auto" w:fill="FFFFFF"/>
        <w:ind w:firstLine="709"/>
        <w:jc w:val="both"/>
        <w:rPr>
          <w:i/>
          <w:iCs/>
          <w:color w:val="000000"/>
        </w:rPr>
      </w:pPr>
      <w:r w:rsidRPr="00512613">
        <w:rPr>
          <w:i/>
          <w:iCs/>
          <w:color w:val="000000"/>
        </w:rPr>
        <w:t xml:space="preserve">1. Краткая характеристика кредитного учреждения (филиала).  </w:t>
      </w:r>
    </w:p>
    <w:p w:rsidR="0017310F" w:rsidRPr="00E90F50" w:rsidRDefault="0017310F" w:rsidP="00750EDB">
      <w:pPr>
        <w:shd w:val="clear" w:color="auto" w:fill="FFFFFF"/>
        <w:ind w:firstLine="709"/>
        <w:jc w:val="both"/>
        <w:rPr>
          <w:iCs/>
          <w:color w:val="000000"/>
        </w:rPr>
      </w:pPr>
      <w:r w:rsidRPr="00E90F50">
        <w:rPr>
          <w:iCs/>
          <w:color w:val="000000"/>
        </w:rPr>
        <w:t>Организационно-правовой статус, характеристика долей участников или акций. Структура управления, организационная структура.  Функции подразделений, взаимосвязь между подразделениями и отделами.</w:t>
      </w:r>
      <w:r>
        <w:rPr>
          <w:iCs/>
          <w:color w:val="000000"/>
        </w:rPr>
        <w:t xml:space="preserve"> </w:t>
      </w:r>
      <w:r w:rsidRPr="00E90F50">
        <w:rPr>
          <w:iCs/>
          <w:color w:val="000000"/>
        </w:rPr>
        <w:t>Наличие обособленных подразделений и внутренних подразделений вне местонахождения головной организации и филиала. Роль и место кредитной организации в банковской системе страны и в банковской системе Ивановской области. Характеристика стратегии, проводимой в настоящее время кредитной организацией.  Участие кредитной организации в системе страхования вкладов физических лиц. Характеристика операций, осуществляемых в соответствии с имеющейся лицензией.</w:t>
      </w:r>
    </w:p>
    <w:p w:rsidR="0017310F" w:rsidRPr="00512613" w:rsidRDefault="0017310F" w:rsidP="00750EDB">
      <w:pPr>
        <w:shd w:val="clear" w:color="auto" w:fill="FFFFFF"/>
        <w:ind w:firstLine="709"/>
        <w:jc w:val="both"/>
        <w:rPr>
          <w:i/>
          <w:iCs/>
          <w:color w:val="000000"/>
        </w:rPr>
      </w:pPr>
      <w:r w:rsidRPr="00512613">
        <w:rPr>
          <w:i/>
          <w:iCs/>
          <w:color w:val="000000"/>
        </w:rPr>
        <w:t xml:space="preserve">2. Оценка деятельности банка по формированию ресурсной базы. </w:t>
      </w:r>
    </w:p>
    <w:p w:rsidR="0017310F" w:rsidRPr="00E90F50" w:rsidRDefault="0017310F" w:rsidP="00750EDB">
      <w:pPr>
        <w:shd w:val="clear" w:color="auto" w:fill="FFFFFF"/>
        <w:ind w:firstLine="709"/>
        <w:jc w:val="both"/>
        <w:rPr>
          <w:iCs/>
          <w:color w:val="000000"/>
        </w:rPr>
      </w:pPr>
      <w:r w:rsidRPr="00E90F50">
        <w:rPr>
          <w:iCs/>
          <w:color w:val="000000"/>
        </w:rPr>
        <w:t xml:space="preserve">Динамика и структура пассивов кредитной организации. Собственный капитал банка: размер, динамика, структура и достаточность. Привлеченные средства кредитной организации: размер, структура по различным критериям классификации, динамика. Характеристика депозитов до востребования физических лиц, порядок начисления процентов. Типы счетов, открываемых кредитной организацией хозяйствующим субъектам для расчетных операций, в том числе банкам-корреспондентам. Условия открытия, изменения и досрочного изъятия срочных вкладов физических лиц, порядок начисления процентов. Характеристика срочных депозитов юридических лиц, порядок начисления процентов. Особенности работы кредитной организации с банковскими векселями и сертификатами. Заемные ресурсы кредитной организации: размер, структура, динамика. Облигации, эмитируемые кредитной организацией. Условия привлечения межбанковских кредитов, их удельный вес в структуре обязательств кредитной организации. Характеристика полученных кредитов Банка России, их удельный вес в структуре обязательств кредитной организации, оценка обеспечения.  </w:t>
      </w:r>
    </w:p>
    <w:p w:rsidR="0017310F" w:rsidRPr="00512613" w:rsidRDefault="0017310F" w:rsidP="00750EDB">
      <w:pPr>
        <w:shd w:val="clear" w:color="auto" w:fill="FFFFFF"/>
        <w:ind w:firstLine="709"/>
        <w:jc w:val="both"/>
        <w:rPr>
          <w:i/>
          <w:iCs/>
          <w:color w:val="000000"/>
        </w:rPr>
      </w:pPr>
      <w:r w:rsidRPr="00512613">
        <w:rPr>
          <w:i/>
          <w:iCs/>
          <w:color w:val="000000"/>
        </w:rPr>
        <w:t xml:space="preserve">3. Динамика и структура активов кредитной организации. </w:t>
      </w:r>
    </w:p>
    <w:p w:rsidR="0017310F" w:rsidRPr="00E90F50" w:rsidRDefault="0017310F" w:rsidP="00750EDB">
      <w:pPr>
        <w:shd w:val="clear" w:color="auto" w:fill="FFFFFF"/>
        <w:ind w:firstLine="709"/>
        <w:jc w:val="both"/>
        <w:rPr>
          <w:iCs/>
          <w:color w:val="000000"/>
        </w:rPr>
      </w:pPr>
      <w:r w:rsidRPr="00E90F50">
        <w:rPr>
          <w:iCs/>
          <w:color w:val="000000"/>
        </w:rPr>
        <w:t xml:space="preserve">Анализ основных направлений использования ресурсов. Характеристика и структура предоставляемых кредитов по группам заемщиков, по назначению, в зависимости от сферы функционирования, по срокам использования, по размерам, по обеспечению, по валюте предоставления, по видам процентных ставок, по степени риска, по способу предоставления, по способу погашения, по числу кредиторов. </w:t>
      </w:r>
      <w:r>
        <w:rPr>
          <w:iCs/>
          <w:color w:val="000000"/>
        </w:rPr>
        <w:t>Анали</w:t>
      </w:r>
      <w:r w:rsidRPr="00E90F50">
        <w:rPr>
          <w:iCs/>
          <w:color w:val="000000"/>
        </w:rPr>
        <w:t xml:space="preserve">з обеспеченности банковских кредитов. Анализ процентной ставки по разным видам кредитов, принципы построения процентной политики, факторы, учитываемые в процентной ставке. Оценка кредитоспособности заемщиков. Методики, используемые банком для оценки кредитоспособности юридических и физических лиц. Организационная характеристика кредитного процесса в банке. </w:t>
      </w:r>
    </w:p>
    <w:p w:rsidR="0017310F" w:rsidRPr="00512613" w:rsidRDefault="0017310F" w:rsidP="00750EDB">
      <w:pPr>
        <w:shd w:val="clear" w:color="auto" w:fill="FFFFFF"/>
        <w:ind w:firstLine="709"/>
        <w:jc w:val="both"/>
        <w:rPr>
          <w:i/>
          <w:iCs/>
          <w:color w:val="000000"/>
        </w:rPr>
      </w:pPr>
      <w:r w:rsidRPr="00512613">
        <w:rPr>
          <w:i/>
          <w:iCs/>
          <w:color w:val="000000"/>
        </w:rPr>
        <w:t xml:space="preserve">4. Организация кассовой работы кредитной организации с клиентами. </w:t>
      </w:r>
    </w:p>
    <w:p w:rsidR="0017310F" w:rsidRPr="00E90F50" w:rsidRDefault="0017310F" w:rsidP="00750EDB">
      <w:pPr>
        <w:shd w:val="clear" w:color="auto" w:fill="FFFFFF"/>
        <w:ind w:firstLine="709"/>
        <w:jc w:val="both"/>
      </w:pPr>
      <w:r w:rsidRPr="00E90F50">
        <w:rPr>
          <w:iCs/>
          <w:color w:val="000000"/>
        </w:rPr>
        <w:t xml:space="preserve">Пример установления лимита остатка наличных денег в кассе предприятия. Прогнозирование кассовых оборотов кредитной организации. </w:t>
      </w:r>
      <w:r>
        <w:rPr>
          <w:iCs/>
          <w:color w:val="000000"/>
        </w:rPr>
        <w:t>Характеристика платежной системы коммерческого банка: корреспондентские отношения банка с Банком России и кредитными организациями, специфика межфилиальных расчетов (для многофилиальных банков). О</w:t>
      </w:r>
      <w:r w:rsidRPr="00E90F50">
        <w:rPr>
          <w:iCs/>
          <w:color w:val="000000"/>
        </w:rPr>
        <w:t xml:space="preserve">перации кредитной организации с использованием банковских карт. Операции кредитной организации на рынке ценных бумаг. Операции кредитной организации на валютном рынке. Операции кредитной организации, не относящиеся к основным: лизинг, факторинг, доверительное управление, форфейтинг, депозитарная деятельность, операции с драгоценными металлами и др. </w:t>
      </w:r>
    </w:p>
    <w:p w:rsidR="0017310F" w:rsidRPr="00E90F50" w:rsidRDefault="0017310F" w:rsidP="00750EDB">
      <w:pPr>
        <w:ind w:firstLine="709"/>
        <w:jc w:val="both"/>
      </w:pPr>
      <w:r w:rsidRPr="00854157">
        <w:rPr>
          <w:i/>
        </w:rPr>
        <w:t>Примечание:</w:t>
      </w:r>
      <w:r>
        <w:rPr>
          <w:i/>
        </w:rPr>
        <w:t xml:space="preserve"> </w:t>
      </w:r>
      <w:r w:rsidRPr="00E90F50">
        <w:t>Анализ и оценка финансовой деятельности объекта исследования проводится на основе данных бухгалтерской отчетности организации за три года.</w:t>
      </w:r>
    </w:p>
    <w:p w:rsidR="0017310F" w:rsidRPr="00780153" w:rsidRDefault="0017310F" w:rsidP="00512613">
      <w:pPr>
        <w:ind w:firstLine="709"/>
        <w:jc w:val="both"/>
        <w:rPr>
          <w:u w:val="single"/>
        </w:rPr>
      </w:pPr>
      <w:r w:rsidRPr="00780153">
        <w:rPr>
          <w:u w:val="single"/>
        </w:rPr>
        <w:t>Часть 2. Индивидуальное задание</w:t>
      </w:r>
    </w:p>
    <w:p w:rsidR="0017310F" w:rsidRPr="00780153" w:rsidRDefault="0017310F" w:rsidP="00512613">
      <w:pPr>
        <w:ind w:firstLine="709"/>
        <w:jc w:val="both"/>
      </w:pPr>
      <w:r w:rsidRPr="00780153">
        <w:t xml:space="preserve">Оценка деятельности объекта исследования по направлению, предусмотренному для анализа в выпускной квалификационной работе бакалавра (в отчете по практике не оформляется). </w:t>
      </w:r>
    </w:p>
    <w:p w:rsidR="0017310F" w:rsidRDefault="0017310F" w:rsidP="00750EDB">
      <w:pPr>
        <w:ind w:firstLine="709"/>
        <w:jc w:val="center"/>
        <w:rPr>
          <w:b/>
        </w:rPr>
      </w:pPr>
    </w:p>
    <w:p w:rsidR="0017310F" w:rsidRDefault="0017310F" w:rsidP="00057974">
      <w:pPr>
        <w:shd w:val="clear" w:color="auto" w:fill="FFFFFF"/>
        <w:ind w:firstLine="709"/>
        <w:jc w:val="both"/>
        <w:rPr>
          <w:b/>
          <w:i/>
          <w:iCs/>
          <w:color w:val="000000"/>
        </w:rPr>
      </w:pPr>
    </w:p>
    <w:p w:rsidR="0017310F" w:rsidRPr="001E5298" w:rsidRDefault="0017310F" w:rsidP="00057974">
      <w:pPr>
        <w:shd w:val="clear" w:color="auto" w:fill="FFFFFF"/>
        <w:ind w:firstLine="709"/>
        <w:jc w:val="both"/>
        <w:rPr>
          <w:b/>
          <w:i/>
          <w:iCs/>
          <w:color w:val="000000"/>
        </w:rPr>
      </w:pPr>
      <w:r w:rsidRPr="001E5298">
        <w:rPr>
          <w:b/>
          <w:i/>
          <w:iCs/>
          <w:color w:val="000000"/>
        </w:rPr>
        <w:t xml:space="preserve">Оформление отчета по практике </w:t>
      </w:r>
    </w:p>
    <w:p w:rsidR="0017310F" w:rsidRPr="001E5298" w:rsidRDefault="0017310F" w:rsidP="00057974">
      <w:pPr>
        <w:shd w:val="clear" w:color="auto" w:fill="FFFFFF"/>
        <w:ind w:firstLine="561"/>
        <w:jc w:val="both"/>
      </w:pPr>
      <w:r w:rsidRPr="001E5298">
        <w:t xml:space="preserve">Содержание отчета по практике должно </w:t>
      </w:r>
      <w:r w:rsidRPr="001E5298">
        <w:rPr>
          <w:spacing w:val="-3"/>
        </w:rPr>
        <w:t>отражать</w:t>
      </w:r>
      <w:r w:rsidRPr="001E5298">
        <w:t xml:space="preserve"> </w:t>
      </w:r>
      <w:r w:rsidRPr="001E5298">
        <w:rPr>
          <w:spacing w:val="-4"/>
        </w:rPr>
        <w:t>решение предусмотренных программой практики задач</w:t>
      </w:r>
      <w:r w:rsidRPr="001E5298">
        <w:t xml:space="preserve">. В общем порядке отчет должен включать оглавление, основную часть, разбитую на главы и параграфы, список литературы и нормативных документов, приложения. Отчет должен быть набран в текстовом редакторе </w:t>
      </w:r>
      <w:r w:rsidRPr="001E5298">
        <w:rPr>
          <w:lang w:val="en-US"/>
        </w:rPr>
        <w:t>MS</w:t>
      </w:r>
      <w:r w:rsidRPr="001E5298">
        <w:t> </w:t>
      </w:r>
      <w:r w:rsidRPr="001E5298">
        <w:rPr>
          <w:lang w:val="en-US"/>
        </w:rPr>
        <w:t>Word</w:t>
      </w:r>
      <w:r w:rsidRPr="001E5298">
        <w:t xml:space="preserve">, шрифтом Times New Roman – 14, междустрочным интервалом – 1,5. Отчёт должен носить наглядный характер, содержать схемы, таблицы и другие </w:t>
      </w:r>
      <w:r w:rsidRPr="001E5298">
        <w:rPr>
          <w:spacing w:val="-2"/>
        </w:rPr>
        <w:t xml:space="preserve">цифровые данные, а также различные формы документов, используемых при практическом решении поставленной </w:t>
      </w:r>
      <w:r w:rsidRPr="001E5298">
        <w:t>задачи. Объем текстовой части отчета составляет 50 страниц</w:t>
      </w:r>
      <w:r>
        <w:t xml:space="preserve">. </w:t>
      </w:r>
      <w:r w:rsidRPr="001E5298">
        <w:t>Отчет должен быть заверен представителем базы практики.</w:t>
      </w:r>
    </w:p>
    <w:p w:rsidR="0017310F" w:rsidRDefault="0017310F" w:rsidP="00057974"/>
    <w:p w:rsidR="0017310F" w:rsidRPr="001E5298" w:rsidRDefault="0017310F" w:rsidP="00057974">
      <w:pPr>
        <w:shd w:val="clear" w:color="auto" w:fill="FFFFFF"/>
        <w:ind w:firstLine="709"/>
        <w:jc w:val="both"/>
        <w:rPr>
          <w:b/>
          <w:i/>
          <w:iCs/>
          <w:color w:val="000000"/>
        </w:rPr>
      </w:pPr>
      <w:r w:rsidRPr="001E5298">
        <w:rPr>
          <w:b/>
          <w:i/>
          <w:iCs/>
          <w:color w:val="000000"/>
        </w:rPr>
        <w:t>По окончани</w:t>
      </w:r>
      <w:r>
        <w:rPr>
          <w:b/>
          <w:i/>
          <w:iCs/>
          <w:color w:val="000000"/>
        </w:rPr>
        <w:t>и</w:t>
      </w:r>
      <w:r w:rsidRPr="001E5298">
        <w:rPr>
          <w:b/>
          <w:i/>
          <w:iCs/>
          <w:color w:val="000000"/>
        </w:rPr>
        <w:t xml:space="preserve"> практики в установленные сроки студент предоставляет на кафедру: </w:t>
      </w:r>
    </w:p>
    <w:p w:rsidR="0017310F" w:rsidRPr="001E5298" w:rsidRDefault="0017310F" w:rsidP="00057974">
      <w:pPr>
        <w:pStyle w:val="Stalker"/>
        <w:ind w:firstLine="539"/>
        <w:rPr>
          <w:spacing w:val="-7"/>
          <w:sz w:val="24"/>
          <w:szCs w:val="24"/>
        </w:rPr>
      </w:pPr>
      <w:r w:rsidRPr="001E5298">
        <w:rPr>
          <w:sz w:val="24"/>
          <w:szCs w:val="24"/>
        </w:rPr>
        <w:t xml:space="preserve">– заполненный по всем разделам </w:t>
      </w:r>
      <w:r w:rsidRPr="001E5298">
        <w:rPr>
          <w:b/>
          <w:sz w:val="24"/>
          <w:szCs w:val="24"/>
        </w:rPr>
        <w:t>дневник практики</w:t>
      </w:r>
      <w:r w:rsidRPr="001E5298">
        <w:rPr>
          <w:sz w:val="24"/>
          <w:szCs w:val="24"/>
        </w:rPr>
        <w:t xml:space="preserve">, подписанный руководителями практики от </w:t>
      </w:r>
      <w:r w:rsidRPr="001E5298">
        <w:rPr>
          <w:spacing w:val="-7"/>
          <w:sz w:val="24"/>
          <w:szCs w:val="24"/>
        </w:rPr>
        <w:t>кафедры и  уполномоченным лицом</w:t>
      </w:r>
      <w:r>
        <w:rPr>
          <w:spacing w:val="-7"/>
          <w:sz w:val="24"/>
          <w:szCs w:val="24"/>
        </w:rPr>
        <w:t xml:space="preserve"> от организации – базы практики;</w:t>
      </w:r>
    </w:p>
    <w:p w:rsidR="0017310F" w:rsidRPr="001E5298" w:rsidRDefault="0017310F" w:rsidP="00057974">
      <w:pPr>
        <w:pStyle w:val="Stalker"/>
        <w:ind w:firstLine="539"/>
        <w:rPr>
          <w:spacing w:val="-4"/>
          <w:sz w:val="24"/>
          <w:szCs w:val="24"/>
        </w:rPr>
      </w:pPr>
      <w:r w:rsidRPr="001E5298">
        <w:rPr>
          <w:spacing w:val="-7"/>
          <w:sz w:val="24"/>
          <w:szCs w:val="24"/>
        </w:rPr>
        <w:t>– </w:t>
      </w:r>
      <w:r w:rsidRPr="001E5298">
        <w:rPr>
          <w:b/>
          <w:spacing w:val="-3"/>
          <w:sz w:val="24"/>
          <w:szCs w:val="24"/>
        </w:rPr>
        <w:t>отчет о прохождении практики</w:t>
      </w:r>
      <w:r w:rsidRPr="001E5298">
        <w:rPr>
          <w:spacing w:val="-3"/>
          <w:sz w:val="24"/>
          <w:szCs w:val="24"/>
        </w:rPr>
        <w:t>, включающий текстовые, табличные и графические материалы, отражающие</w:t>
      </w:r>
      <w:r w:rsidRPr="001E5298">
        <w:rPr>
          <w:sz w:val="24"/>
          <w:szCs w:val="24"/>
        </w:rPr>
        <w:t xml:space="preserve"> </w:t>
      </w:r>
      <w:r w:rsidRPr="001E5298">
        <w:rPr>
          <w:spacing w:val="-4"/>
          <w:sz w:val="24"/>
          <w:szCs w:val="24"/>
        </w:rPr>
        <w:t>решение предусмотренных программой практики задач</w:t>
      </w:r>
      <w:r>
        <w:rPr>
          <w:spacing w:val="-4"/>
          <w:sz w:val="24"/>
          <w:szCs w:val="24"/>
        </w:rPr>
        <w:t xml:space="preserve">. На титульном листе отчета по практике должна стоять оценка, отражающая качество отчета по практике, подпись </w:t>
      </w:r>
      <w:r w:rsidRPr="001E5298">
        <w:rPr>
          <w:sz w:val="24"/>
          <w:szCs w:val="24"/>
        </w:rPr>
        <w:t>уполномоченного должностного лица организации – базы практики</w:t>
      </w:r>
      <w:r>
        <w:rPr>
          <w:sz w:val="24"/>
          <w:szCs w:val="24"/>
        </w:rPr>
        <w:t>, печать организации</w:t>
      </w:r>
      <w:r w:rsidRPr="001E5298">
        <w:rPr>
          <w:spacing w:val="-4"/>
          <w:sz w:val="24"/>
          <w:szCs w:val="24"/>
        </w:rPr>
        <w:t>;</w:t>
      </w:r>
    </w:p>
    <w:p w:rsidR="0017310F" w:rsidRPr="001E5298" w:rsidRDefault="0017310F" w:rsidP="00057974">
      <w:pPr>
        <w:ind w:firstLine="485"/>
        <w:jc w:val="both"/>
      </w:pPr>
      <w:r w:rsidRPr="001E5298">
        <w:t>– </w:t>
      </w:r>
      <w:r w:rsidRPr="001E5298">
        <w:rPr>
          <w:b/>
        </w:rPr>
        <w:t>характеристику</w:t>
      </w:r>
      <w:r w:rsidRPr="001E5298">
        <w:t xml:space="preserve"> с оценкой, отражающей качество прохождения практики, от уполномоченного должностного лица организации – базы практики</w:t>
      </w:r>
      <w:r>
        <w:t>.</w:t>
      </w:r>
    </w:p>
    <w:p w:rsidR="0017310F" w:rsidRPr="009576EE" w:rsidRDefault="0017310F" w:rsidP="00057974">
      <w:pPr>
        <w:ind w:firstLine="567"/>
        <w:rPr>
          <w:i/>
        </w:rPr>
      </w:pPr>
      <w:r w:rsidRPr="009576EE">
        <w:rPr>
          <w:i/>
        </w:rPr>
        <w:t>Характеристика и дневник практики вкладывается в файл после титульного листа в отчете по практике</w:t>
      </w:r>
    </w:p>
    <w:p w:rsidR="0017310F" w:rsidRPr="00057974" w:rsidRDefault="0017310F">
      <w:pPr>
        <w:rPr>
          <w:b/>
        </w:rPr>
      </w:pPr>
    </w:p>
    <w:sectPr w:rsidR="0017310F" w:rsidRPr="00057974" w:rsidSect="00F1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795D"/>
    <w:multiLevelType w:val="singleLevel"/>
    <w:tmpl w:val="5614B944"/>
    <w:lvl w:ilvl="0">
      <w:start w:val="3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6BEA45D6"/>
    <w:multiLevelType w:val="singleLevel"/>
    <w:tmpl w:val="BDC47DBA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974"/>
    <w:rsid w:val="00057974"/>
    <w:rsid w:val="0017310F"/>
    <w:rsid w:val="001E5298"/>
    <w:rsid w:val="00512613"/>
    <w:rsid w:val="00750EDB"/>
    <w:rsid w:val="00780153"/>
    <w:rsid w:val="00854157"/>
    <w:rsid w:val="008E6D12"/>
    <w:rsid w:val="009576EE"/>
    <w:rsid w:val="00E90F50"/>
    <w:rsid w:val="00F07249"/>
    <w:rsid w:val="00F1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9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7">
    <w:name w:val="Font Style157"/>
    <w:uiPriority w:val="99"/>
    <w:rsid w:val="00057974"/>
    <w:rPr>
      <w:rFonts w:ascii="Times New Roman" w:hAnsi="Times New Roman"/>
      <w:i/>
      <w:sz w:val="16"/>
    </w:rPr>
  </w:style>
  <w:style w:type="paragraph" w:customStyle="1" w:styleId="Stalker">
    <w:name w:val="Stalker"/>
    <w:basedOn w:val="Normal"/>
    <w:uiPriority w:val="99"/>
    <w:rsid w:val="00057974"/>
    <w:pPr>
      <w:ind w:firstLine="68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815</Words>
  <Characters>4646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2015-04-22T10:50:00Z</dcterms:created>
  <dcterms:modified xsi:type="dcterms:W3CDTF">2015-07-10T05:36:00Z</dcterms:modified>
</cp:coreProperties>
</file>